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0007/2026 vom 30. Januar 2026</w:t>
      </w:r>
    </w:p>
    <w:p>
      <w:r>
        <w:t>ZH Baurekursgericht, 2026-01-30, DE</w:t>
      </w:r>
    </w:p>
    <w:p>
      <w:r>
        <w:rPr>
          <w:b/>
        </w:rPr>
        <w:t xml:space="preserve">Quelle: </w:t>
      </w:r>
      <w:r>
        <w:t>https://mcp.opencaselaw.ch/entscheid/zh_baurekursgericht_BRGE I Nr. 0007_2026</w:t>
      </w:r>
    </w:p>
    <w:p>
      <w:r>
        <w:t>FR: ZH_BAUREKURSGERICHT BRGE I Nr. 0007/2026 du 30 janvier 2026</w:t>
      </w:r>
    </w:p>
    <w:p>
      <w:r>
        <w:t>IT: ZH_BAUREKURSGERICHT BRGE I Nr. 0007/2026 del 30 gennaio 2026</w:t>
      </w:r>
    </w:p>
    <w:p>
      <w:pPr>
        <w:pStyle w:val="Heading2"/>
      </w:pPr>
      <w:r>
        <w:t>Regeste</w:t>
      </w:r>
    </w:p>
    <w:p>
      <w:r>
        <w:t>Angefochten war eine Verfügung der Baudirektion, mit der die Festsetzung einer von der Stadt Zürich beantragten Planungszone verweigert wurde. Die Rekurrentin war Eigentümerin von Grundstücken in der unmittelbaren Nachbarschaft des Perimeters der fraglichen Planungszone. Auf den Rekurs wurde nicht eingetreten. Es fehlte an der legitimationsbegründenden Betroffenheit in eigenen Interessen bzw. an einem entsprechenden Nutzen.</w:t>
      </w:r>
    </w:p>
    <w:p>
      <w:pPr>
        <w:pStyle w:val="Heading2"/>
      </w:pPr>
      <w:r>
        <w:t>Erwägungen</w:t>
      </w:r>
    </w:p>
    <w:p>
      <w:r>
        <w:rPr>
          <w:b/>
        </w:rPr>
        <w:t>E. 1</w:t>
      </w:r>
    </w:p>
    <w:p>
      <w:r>
        <w:t>Baudirektion Kanton Zürich Mitbeteiligte</w:t>
      </w:r>
    </w:p>
    <w:p>
      <w:r>
        <w:rPr>
          <w:b/>
        </w:rPr>
        <w:t>E. 2</w:t>
      </w:r>
    </w:p>
    <w:p>
      <w:r>
        <w:t>Stadtrat X Nr. 2 vertreten durch […] dieser wiederum vertreten durch […]</w:t>
      </w:r>
    </w:p>
    <w:p>
      <w:r>
        <w:rPr>
          <w:b/>
        </w:rPr>
        <w:t>E. 3</w:t>
      </w:r>
    </w:p>
    <w:p>
      <w:r>
        <w:t>B AG Nr. 3 vertreten durch […]</w:t>
      </w:r>
    </w:p>
    <w:p>
      <w:r>
        <w:rPr>
          <w:b/>
        </w:rPr>
        <w:t>E. 4</w:t>
      </w:r>
    </w:p>
    <w:p>
      <w:r>
        <w:t>Die Rekurrentin ist Eigentümerin der Parzellen Kat.-Nrn. 10, 11 und 12 an der D-Strasse und an der E-Strasse, welche einzig durch die E-Strasse vom Perimeter der streitbetroffenen Planungszone getrennt sind. Sie macht eine besondere Betroffenheit von der künftigen Entwicklung bzw. vom Stillstand im "Y-Areal Plus" geltend mit Bezug auf "Emissionen von Lärm und Luft- schadstoffen, Klimaerwärmung, Grünflächen mit Auswirkungen auf Klima, Wohnqualität, Gewerbequalität, Verkehr; wirtschaftliche Gründe etc.". Die Festsetzung einer Planungszone und die damit verfolgten Planungsziele würden zu einer Aufwertung der Liegenschaften der Rekurrentin führen. R1S.2025.05094 Seite 5</w:t>
      </w:r>
    </w:p>
    <w:p>
      <w:r>
        <w:t>Sie setze sich entsprechend ihrem Stiftungsweck für eine nachhaltige Stadt- entwicklung […] ein, insbesondere für verschiedene Aspekte einer zukunfts- gerichteten Entwicklung des B-Areals, fordere eine grössere Wohnnutzung, mehr Freiräume, ein gutes kulturelles Angebot, den Erhalt der "Y-Halle" und sie wehre sich gegen die Bauvorhaben der B AG (VB.2025.00088) und der C AG. Sie sei der Auffassung, dass die Sonderbauvorschriften "Y-Areal Plus" in wesentlichen Punkten nicht mehr den heutigen Anforderungen entspre- chen würden. Namentlich seien die SBV unvereinbar mit dem Kulturgüter- schutz (Erhalt der Y-Halle), den veränderten Umweltbedingungen (wie Hitze, Freiflächen und Biodiversität), dem Klimaschutz sowie mit dem Gebot der Innenverdichtung (Erhöhung und bessere Verteilung des Wohnanteils). So- dann könne die Festsetzung der Planungszone "Y-Areal Plus" zur Gutheis- sung der Verwaltungsgerichtsbeschwerde der Rekurrentin im Verfahren VB.2025.00088 führen.</w:t>
      </w:r>
    </w:p>
    <w:p>
      <w:r>
        <w:rPr>
          <w:b/>
        </w:rPr>
        <w:t>E. 5</w:t>
      </w:r>
    </w:p>
    <w:p>
      <w:r>
        <w:t>Soweit die Rekurrentin allgemeine bzw. öffentliche Interessen vorbringt wie Klimaschutz, Wohnqualität, Wohnanteil, Gewerbequalität, Verkehr; wirt- schaftliche Gründe, nachhaltige Stadtentwicklung, kulturelles Angebot, Kul- turgüterschutz, Biodiversität, sind diese von vornherein nicht legitimations- begründend. Auf die Emissionen von Lärm und Luftschadstoffen hätte die Festsetzung der anbegehrten Planungszone keine Auswirkungen. Auch die Begründung der Planungszone im Antrag des Stadtrates vom 26. Februar 2025 (act. 5.6, s. auch Motion vom 31. Mai 2023, act. 5.5) steht in keinem Zusammenhang mit Lärm oder Luftschadstoffen, sodass nicht zu erwarten ist, dass sich mit einer allfällige Revision der Sonderbauvorschriften für die Rekurrentin etwas ändern würde. Inwiefern die Festsetzung der Planungszone und die damit verfolgten Pla- nungsziele unmittelbar und für sich allein zu einer rechtserheblichen Aufwer- tung der Liegenschaften der Rekurrentin führen sollen, ist nicht nachvollzieh- bar. Zum einen ist die Umsetzung der Planungsziele mit einer grossen Unsi- cherheit inhaltlicher und zeitlicher Art verbunden, zum anderen ist nicht nach- vollziehbar, weshalb sich die Ermöglichung des Erhalts des Parkhauses (E- Strasse) in seinem Volumen (mit möglicher Umnutzung), welches jenseits R1S.2025.05094 Seite 6</w:t>
      </w:r>
    </w:p>
    <w:p>
      <w:r>
        <w:t>der E-Strasse unmittelbar gegenüber den rekurrentischen Liegenschaften gelegen ist, die Ermöglichung des Erhalts der dahinter gelegenen Y-Hallen (ca. 125 m von den rekurrentischen Grundstücken entfernt und weitestge- hend verdeckt durch dazwischenliegende Gebäude), wertsteigernd auswir- ken sollte. Gleiches gilt für die weiteren Planungsabsichten (Sicherstellung einer verbesserten Hitzeminderung und Biodiversität bei der Aussenraumge- staltung, Erhöhung des Mindestwohnanteils), den Verdichtungsauftrag und die Schaffung eines Quartierzentrums mit publikumsorientierten Erdge- schossnutzungen und hochwertigen Freiräumen entlang der D-Strasse ge- mäss dem kommunalen Richtplan Siedlung, Landschaf, öffentliche Bauten und Anlagen (SLöBA) und die strengeren Energiestandards gestützt auf das städtische Klimaschutzziel Netto-Null 2040 (s. Antrag des Stadtrats, S. 3). Schliesslich liegt darin, dass die Anordnung der Planungszone der Realisie- rung der Bauprojekte "Y-live", "Z 1" und "Z 3" entgegenstehen könnte, kein legitimationsbegründender Nutzen, weil sich dies nicht unmittelbar aus der Gutheissung des vorliegenden Rekurses ergeben würde, sondern von einer Interessenabwägung abhängig wäre. Planungszonen, die erst nach der Er- teilung der Baubewilligung im Lauf des (kantonalen) Rechtsmittelverfahrens erlassen werden, finden auf noch nicht rechtskräftige Baubewilligungen nur Anwendung, sofern überwiegende öffentliche Interessen dies rechtfertigen bzw. gebieten, dies vorbehältlich spezieller intertemporalrechtlicher Rege- lungen des kantonalen Rechts (BGr 1C_421/2023 vom 20. September 2024, E. 4.3.1.). Nach dem Gesagten und zumal keine aus dem Grundeigentum fliessenden Befugnisse beschränkt zu werden, entfällt auch ein aus Art. 21 Abs. 2 RPG fliessender Anspruch auf Festsetzung der in Frage stehenden Planungs- zone. Somit ist auf den Rekurs nicht einzutreten.</w:t>
      </w:r>
    </w:p>
    <w:p>
      <w:r>
        <w:rPr>
          <w:b/>
        </w:rPr>
        <w:t>E. 6</w:t>
      </w:r>
    </w:p>
    <w:p>
      <w:r>
        <w:t>Ausgangsgemäss sind die Verfahrenskosten der Rekurrentin aufzuerlegen (§13 des Verwaltungsrechtspflegegesetzes [VRG]). R1S.2025.05094 Seite 7</w:t>
      </w:r>
    </w:p>
    <w:p>
      <w:r>
        <w:t>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X/Basel/Genf 2014, § 13 Rz. 25 ff.). Wird ohne materielle Prüfung der Begehren entschieden, kann die Gerichts- gebühr bis auf einen Fünftel herabgesetzt werden (§ 4 Abs. 2 GebV VGr). Kein solcher Reduktionsgrund liegt im Allgemeinen bei einem Nichteintreten- sentscheid vor, ist doch diesfalls stets die Erfüllung von Prozessvorausset- zungen zu prüfen und ist diese Prüfung mit der gebotenen Einlässlichkeit darzulegen. Bei solchen Entscheiden ist demnach in der Regel über den An- satz von einem Fünftel der Gerichtsgebühr für den Sachentscheid hinauszu- gehen. Demnach ist die Gerichtsgebühr vorliegend auf Fr. 4'500.-- festzusetzen.</w:t>
      </w:r>
    </w:p>
    <w:p>
      <w:r>
        <w:rPr>
          <w:b/>
        </w:rPr>
        <w:t>E. 7</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Mitbeteiligten 3 und 4 zulasten der Rekurrentin eine Umtriebsentschädigung zuzusprechen. An- gemessen erscheint ein Betrag von je Fr. 1'700.-- (insgesamt Fr. 3'400.--). Da die Umtriebsentschädigung pauschal festgelegt wird, entfällt die R1S.2025.05094 Seite 8</w:t>
      </w:r>
    </w:p>
    <w:p>
      <w:r>
        <w:t>Zusprechung eines Mehrwertsteuerzusatzes von vornherein (BRKE II Nrn. 0247 und 0248/2007 in BEZ 2007 Nr. 56; www.baurekursgericht-zh.ch). Das Baurekursgericht beschliesst: I. Auf den Rekurs wird nicht eingetreten. II. Die Kosten des Verfahrens, bestehend aus Fr. 4'500.-- Gerichtsgebühr Fr. 275.-- Zustellkosten Fr. 4‘775.-- Total ========= werden der Rekurrentin auferlegt. Rechnung und Einzahlungsschein werden der Kostenpflichtigen nach Eintritt der Rechtskraft dieses Entscheides zuge- stellt. Die Kosten sind innert 30 Tagen ab Zustellung der Rechnung zu be- zahlen. III. Die Rekurrentin wird verpflichtet, den Mitbeteiligten 3 und 4 eine Umtriebs- entschädigung von je Fr. 1'700.-- (insgesamt Fr. 3'400.--) zu bezahlen. R1S.2025.05094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